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Sequatchie County Opioid Initiative Committee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2025-2026 Cycle Opioid Settlement Funding Quarterly Report</w:t>
      </w:r>
    </w:p>
    <w:p>
      <w:pPr>
        <w:pStyle w:val="Normal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Agency Name: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Name of Reporting Individual:      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Date Report Submitted:      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</w:rPr>
        <w:t xml:space="preserve">Organizations should provide </w:t>
      </w:r>
      <w:r>
        <w:rPr>
          <w:rFonts w:eastAsia="Times New Roman" w:cs="Times New Roman" w:ascii="Times New Roman" w:hAnsi="Times New Roman"/>
          <w:b/>
        </w:rPr>
        <w:t>quarterly progress reports</w:t>
      </w:r>
      <w:r>
        <w:rPr>
          <w:rFonts w:eastAsia="Times New Roman" w:cs="Times New Roman" w:ascii="Times New Roman" w:hAnsi="Times New Roman"/>
        </w:rPr>
        <w:t xml:space="preserve"> to </w:t>
      </w:r>
      <w:hyperlink r:id="rId2">
        <w:r>
          <w:rPr>
            <w:rStyle w:val="Hyperlink"/>
            <w:rFonts w:ascii="Verdana" w:hAnsi="Verdana"/>
            <w:b/>
            <w:bCs/>
            <w:sz w:val="20"/>
            <w:szCs w:val="20"/>
          </w:rPr>
          <w:t>opioid.grant@sequatchiecountytn.gov</w:t>
        </w:r>
      </w:hyperlink>
      <w:r>
        <w:rPr>
          <w:rFonts w:eastAsia="Times New Roman" w:cs="Times New Roman" w:ascii="Times New Roman" w:hAnsi="Times New Roman"/>
          <w:highlight w:val="white"/>
        </w:rPr>
        <w:t xml:space="preserve">. </w:t>
      </w:r>
      <w:r>
        <w:rPr>
          <w:rFonts w:eastAsia="Times New Roman" w:cs="Times New Roman" w:ascii="Times New Roman" w:hAnsi="Times New Roman"/>
        </w:rPr>
        <w:t xml:space="preserve">All sections of this document must be completed in full to meet the reporting requirements. Please attach a quarterly invoice to this document. </w:t>
      </w:r>
      <w:r>
        <w:rPr>
          <w:rFonts w:eastAsia="Times New Roman" w:cs="Times New Roman" w:ascii="Times New Roman" w:hAnsi="Times New Roman"/>
          <w:highlight w:val="white"/>
        </w:rPr>
        <w:t xml:space="preserve">Reports will be due 14 days after each project quarter: 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eastAsia="Times New Roman" w:cs="Times New Roman" w:ascii="Times New Roman" w:hAnsi="Times New Roman"/>
          <w:color w:val="000000"/>
          <w:vertAlign w:val="superscript"/>
        </w:rPr>
        <w:t>st</w:t>
      </w:r>
      <w:r>
        <w:rPr>
          <w:rFonts w:eastAsia="Times New Roman" w:cs="Times New Roman" w:ascii="Times New Roman" w:hAnsi="Times New Roman"/>
          <w:color w:val="000000"/>
        </w:rPr>
        <w:t xml:space="preserve"> Quarter due [</w:t>
      </w:r>
      <w:r>
        <w:rPr>
          <w:rFonts w:eastAsia="Times New Roman" w:cs="Times New Roman" w:ascii="Times New Roman" w:hAnsi="Times New Roman"/>
          <w:color w:val="000000"/>
        </w:rPr>
        <w:t>August 28</w:t>
      </w:r>
      <w:r>
        <w:rPr>
          <w:rFonts w:eastAsia="Times New Roman" w:cs="Times New Roman" w:ascii="Times New Roman" w:hAnsi="Times New Roman"/>
          <w:color w:val="000000"/>
        </w:rPr>
        <w:t>, 2026]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eastAsia="Times New Roman" w:cs="Times New Roman" w:ascii="Times New Roman" w:hAnsi="Times New Roman"/>
          <w:color w:val="000000"/>
          <w:vertAlign w:val="superscript"/>
        </w:rPr>
        <w:t>nd</w:t>
      </w:r>
      <w:r>
        <w:rPr>
          <w:rFonts w:eastAsia="Times New Roman" w:cs="Times New Roman" w:ascii="Times New Roman" w:hAnsi="Times New Roman"/>
          <w:color w:val="000000"/>
        </w:rPr>
        <w:t xml:space="preserve"> Quarter due [</w:t>
      </w:r>
      <w:r>
        <w:rPr>
          <w:rFonts w:eastAsia="Times New Roman" w:cs="Times New Roman" w:ascii="Times New Roman" w:hAnsi="Times New Roman"/>
          <w:color w:val="000000"/>
        </w:rPr>
        <w:t>November 27,</w:t>
      </w:r>
      <w:r>
        <w:rPr>
          <w:rFonts w:eastAsia="Times New Roman" w:cs="Times New Roman" w:ascii="Times New Roman" w:hAnsi="Times New Roman"/>
          <w:color w:val="000000"/>
        </w:rPr>
        <w:t xml:space="preserve"> 2026]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eastAsia="Times New Roman" w:cs="Times New Roman" w:ascii="Times New Roman" w:hAnsi="Times New Roman"/>
          <w:color w:val="000000"/>
          <w:vertAlign w:val="superscript"/>
        </w:rPr>
        <w:t>rd</w:t>
      </w:r>
      <w:r>
        <w:rPr>
          <w:rFonts w:eastAsia="Times New Roman" w:cs="Times New Roman" w:ascii="Times New Roman" w:hAnsi="Times New Roman"/>
          <w:color w:val="000000"/>
        </w:rPr>
        <w:t xml:space="preserve"> Quarter due [</w:t>
      </w:r>
      <w:r>
        <w:rPr>
          <w:rFonts w:eastAsia="Times New Roman" w:cs="Times New Roman" w:ascii="Times New Roman" w:hAnsi="Times New Roman"/>
          <w:color w:val="000000"/>
        </w:rPr>
        <w:t>February 26, 2027</w:t>
      </w:r>
      <w:r>
        <w:rPr>
          <w:rFonts w:eastAsia="Times New Roman" w:cs="Times New Roman" w:ascii="Times New Roman" w:hAnsi="Times New Roman"/>
          <w:color w:val="000000"/>
        </w:rPr>
        <w:t>]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eastAsia="Times New Roman" w:cs="Times New Roman" w:ascii="Times New Roman" w:hAnsi="Times New Roman"/>
          <w:color w:val="000000"/>
          <w:vertAlign w:val="superscript"/>
        </w:rPr>
        <w:t>th</w:t>
      </w:r>
      <w:r>
        <w:rPr>
          <w:rFonts w:eastAsia="Times New Roman" w:cs="Times New Roman" w:ascii="Times New Roman" w:hAnsi="Times New Roman"/>
          <w:color w:val="000000"/>
        </w:rPr>
        <w:t xml:space="preserve"> Quarter due [</w:t>
      </w:r>
      <w:r>
        <w:rPr>
          <w:rFonts w:eastAsia="Times New Roman" w:cs="Times New Roman" w:ascii="Times New Roman" w:hAnsi="Times New Roman"/>
          <w:color w:val="000000"/>
        </w:rPr>
        <w:t>May 28, 2027</w:t>
      </w:r>
      <w:r>
        <w:rPr>
          <w:rFonts w:eastAsia="Times New Roman" w:cs="Times New Roman" w:ascii="Times New Roman" w:hAnsi="Times New Roman"/>
          <w:color w:val="000000"/>
        </w:rPr>
        <w:t>]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 xml:space="preserve">Report Period:                     ☐ </w:t>
      </w:r>
      <w:r>
        <w:rPr>
          <w:rFonts w:eastAsia="Times New Roman" w:cs="Times New Roman" w:ascii="Times New Roman" w:hAnsi="Times New Roman"/>
        </w:rPr>
        <w:t>1</w:t>
      </w:r>
      <w:r>
        <w:rPr>
          <w:rFonts w:eastAsia="Times New Roman" w:cs="Times New Roman" w:ascii="Times New Roman" w:hAnsi="Times New Roman"/>
          <w:vertAlign w:val="superscript"/>
        </w:rPr>
        <w:t>st</w:t>
      </w:r>
      <w:r>
        <w:rPr>
          <w:rFonts w:eastAsia="Times New Roman" w:cs="Times New Roman" w:ascii="Times New Roman" w:hAnsi="Times New Roman"/>
        </w:rPr>
        <w:t xml:space="preserve"> Quarter </w:t>
      </w:r>
      <w:r>
        <w:rPr>
          <w:rFonts w:eastAsia="Times New Roman" w:cs="Times New Roman" w:ascii="Times New Roman" w:hAnsi="Times New Roman"/>
        </w:rPr>
        <w:t>(June- August</w:t>
      </w:r>
      <w:r>
        <w:rPr>
          <w:rFonts w:eastAsia="Times New Roman" w:cs="Times New Roman" w:ascii="Times New Roman" w:hAnsi="Times New Roman"/>
        </w:rPr>
        <w:t>)</w:t>
      </w:r>
      <w:r>
        <w:rPr>
          <w:rFonts w:eastAsia="Times New Roman" w:cs="Times New Roman" w:ascii="Times New Roman" w:hAnsi="Times New Roman"/>
          <w:b/>
        </w:rPr>
        <w:t xml:space="preserve">                          </w:t>
      </w:r>
      <w:r>
        <w:rPr>
          <w:rFonts w:eastAsia="Times New Roman" w:cs="Times New Roman" w:ascii="Times New Roman" w:hAnsi="Times New Roman"/>
        </w:rPr>
        <w:t>☐ 2</w:t>
      </w:r>
      <w:r>
        <w:rPr>
          <w:rFonts w:eastAsia="Times New Roman" w:cs="Times New Roman" w:ascii="Times New Roman" w:hAnsi="Times New Roman"/>
          <w:vertAlign w:val="superscript"/>
        </w:rPr>
        <w:t>nd</w:t>
      </w:r>
      <w:r>
        <w:rPr>
          <w:rFonts w:eastAsia="Times New Roman" w:cs="Times New Roman" w:ascii="Times New Roman" w:hAnsi="Times New Roman"/>
        </w:rPr>
        <w:t xml:space="preserve"> Quarter (</w:t>
      </w:r>
      <w:r>
        <w:rPr>
          <w:rFonts w:eastAsia="Times New Roman" w:cs="Times New Roman" w:ascii="Times New Roman" w:hAnsi="Times New Roman"/>
        </w:rPr>
        <w:t>September-November</w:t>
      </w:r>
      <w:r>
        <w:rPr>
          <w:rFonts w:eastAsia="Times New Roman" w:cs="Times New Roman" w:ascii="Times New Roman" w:hAnsi="Times New Roman"/>
        </w:rPr>
        <w:t>)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"/>
        <w:ind w:firstLine="2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☐ </w:t>
      </w:r>
      <w:r>
        <w:rPr>
          <w:rFonts w:eastAsia="Times New Roman" w:cs="Times New Roman" w:ascii="Times New Roman" w:hAnsi="Times New Roman"/>
        </w:rPr>
        <w:t>3</w:t>
      </w:r>
      <w:r>
        <w:rPr>
          <w:rFonts w:eastAsia="Times New Roman" w:cs="Times New Roman" w:ascii="Times New Roman" w:hAnsi="Times New Roman"/>
          <w:vertAlign w:val="superscript"/>
        </w:rPr>
        <w:t>rd</w:t>
      </w:r>
      <w:r>
        <w:rPr>
          <w:rFonts w:eastAsia="Times New Roman" w:cs="Times New Roman" w:ascii="Times New Roman" w:hAnsi="Times New Roman"/>
        </w:rPr>
        <w:t xml:space="preserve"> Quarter (</w:t>
      </w:r>
      <w:r>
        <w:rPr>
          <w:rFonts w:eastAsia="Times New Roman" w:cs="Times New Roman" w:ascii="Times New Roman" w:hAnsi="Times New Roman"/>
        </w:rPr>
        <w:t>December-February</w:t>
      </w:r>
      <w:r>
        <w:rPr>
          <w:rFonts w:eastAsia="Times New Roman" w:cs="Times New Roman" w:ascii="Times New Roman" w:hAnsi="Times New Roman"/>
        </w:rPr>
        <w:t xml:space="preserve">)              </w:t>
        <w:tab/>
      </w:r>
      <w:r>
        <w:rPr>
          <w:rFonts w:eastAsia="Times New Roman" w:cs="Times New Roman" w:ascii="Times New Roman" w:hAnsi="Times New Roman"/>
          <w:bCs/>
        </w:rPr>
        <w:t>☐ 4</w:t>
      </w:r>
      <w:r>
        <w:rPr>
          <w:rFonts w:eastAsia="Times New Roman" w:cs="Times New Roman" w:ascii="Times New Roman" w:hAnsi="Times New Roman"/>
          <w:bCs/>
          <w:vertAlign w:val="superscript"/>
        </w:rPr>
        <w:t>th</w:t>
      </w:r>
      <w:r>
        <w:rPr>
          <w:rFonts w:eastAsia="Times New Roman" w:cs="Times New Roman" w:ascii="Times New Roman" w:hAnsi="Times New Roman"/>
          <w:bCs/>
        </w:rPr>
        <w:t xml:space="preserve"> Quarter (</w:t>
      </w:r>
      <w:r>
        <w:rPr>
          <w:rFonts w:eastAsia="Times New Roman" w:cs="Times New Roman" w:ascii="Times New Roman" w:hAnsi="Times New Roman"/>
          <w:bCs/>
        </w:rPr>
        <w:t>March-May</w:t>
      </w:r>
      <w:r>
        <w:rPr>
          <w:rFonts w:eastAsia="Times New Roman" w:cs="Times New Roman" w:ascii="Times New Roman" w:hAnsi="Times New Roman"/>
          <w:bCs/>
        </w:rPr>
        <w:t>)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Quarterly Summary:</w:t>
      </w:r>
    </w:p>
    <w:p>
      <w:pPr>
        <w:pStyle w:val="Normal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 xml:space="preserve">Type to provide responses to each of the following inquiries. Only provide information for the corresponding quarter. 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"/>
        <w:numPr>
          <w:ilvl w:val="0"/>
          <w:numId w:val="2"/>
        </w:numPr>
        <w:spacing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Staff working on the project:</w:t>
      </w:r>
    </w:p>
    <w:p>
      <w:pPr>
        <w:pStyle w:val="Normal"/>
        <w:spacing w:before="0" w:after="200"/>
        <w:ind w:left="720"/>
        <w:rPr>
          <w:rFonts w:ascii="Times New Roman" w:hAnsi="Times New Roman" w:eastAsia="Times New Roman" w:cs="Times New Roman"/>
        </w:rPr>
      </w:pPr>
      <w:bookmarkStart w:id="0" w:name="bookmark=id.3dy6vkm"/>
      <w:bookmarkEnd w:id="0"/>
      <w:r>
        <w:rPr>
          <w:rFonts w:eastAsia="Times New Roman" w:cs="Times New Roman" w:ascii="Times New Roman" w:hAnsi="Times New Roman"/>
        </w:rPr>
        <w:t>     </w:t>
      </w:r>
    </w:p>
    <w:p>
      <w:pPr>
        <w:pStyle w:val="Normal"/>
        <w:numPr>
          <w:ilvl w:val="0"/>
          <w:numId w:val="6"/>
        </w:numPr>
        <w:spacing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Community partners involved with the project:</w:t>
      </w:r>
    </w:p>
    <w:p>
      <w:pPr>
        <w:pStyle w:val="Normal"/>
        <w:spacing w:before="0" w:after="200"/>
        <w:ind w:left="720"/>
        <w:rPr>
          <w:rFonts w:ascii="Times New Roman" w:hAnsi="Times New Roman" w:eastAsia="Times New Roman" w:cs="Times New Roman"/>
        </w:rPr>
      </w:pPr>
      <w:bookmarkStart w:id="1" w:name="bookmark=id.1t3h5sf"/>
      <w:bookmarkEnd w:id="1"/>
      <w:r>
        <w:rPr>
          <w:rFonts w:eastAsia="Times New Roman" w:cs="Times New Roman" w:ascii="Times New Roman" w:hAnsi="Times New Roman"/>
        </w:rPr>
        <w:t>     </w:t>
      </w:r>
    </w:p>
    <w:p>
      <w:pPr>
        <w:pStyle w:val="Normal"/>
        <w:numPr>
          <w:ilvl w:val="0"/>
          <w:numId w:val="7"/>
        </w:numPr>
        <w:spacing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Challenges and barriers experienced within the associated timeframe:</w:t>
      </w:r>
    </w:p>
    <w:p>
      <w:pPr>
        <w:pStyle w:val="Normal"/>
        <w:spacing w:before="0" w:after="200"/>
        <w:ind w:left="720"/>
        <w:rPr>
          <w:rFonts w:ascii="Times New Roman" w:hAnsi="Times New Roman" w:eastAsia="Times New Roman" w:cs="Times New Roman"/>
        </w:rPr>
      </w:pPr>
      <w:bookmarkStart w:id="2" w:name="bookmark=id.4d34og8"/>
      <w:bookmarkEnd w:id="2"/>
      <w:r>
        <w:rPr>
          <w:rFonts w:eastAsia="Times New Roman" w:cs="Times New Roman" w:ascii="Times New Roman" w:hAnsi="Times New Roman"/>
        </w:rPr>
        <w:t>     </w:t>
      </w:r>
    </w:p>
    <w:p>
      <w:pPr>
        <w:pStyle w:val="Normal"/>
        <w:numPr>
          <w:ilvl w:val="0"/>
          <w:numId w:val="4"/>
        </w:numPr>
        <w:spacing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Successes experienced within the associated timeframe:</w:t>
      </w:r>
    </w:p>
    <w:p>
      <w:pPr>
        <w:pStyle w:val="Normal"/>
        <w:spacing w:before="0" w:after="200"/>
        <w:ind w:left="720"/>
        <w:rPr>
          <w:rFonts w:ascii="Times New Roman" w:hAnsi="Times New Roman" w:eastAsia="Times New Roman" w:cs="Times New Roman"/>
        </w:rPr>
      </w:pPr>
      <w:bookmarkStart w:id="3" w:name="bookmark=id.2s8eyo1"/>
      <w:bookmarkEnd w:id="3"/>
      <w:r>
        <w:rPr>
          <w:rFonts w:eastAsia="Times New Roman" w:cs="Times New Roman" w:ascii="Times New Roman" w:hAnsi="Times New Roman"/>
        </w:rPr>
        <w:t>     </w:t>
      </w:r>
    </w:p>
    <w:p>
      <w:pPr>
        <w:pStyle w:val="Normal"/>
        <w:numPr>
          <w:ilvl w:val="0"/>
          <w:numId w:val="5"/>
        </w:numPr>
        <w:spacing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Anticipated next steps:</w:t>
      </w:r>
    </w:p>
    <w:p>
      <w:pPr>
        <w:pStyle w:val="Normal"/>
        <w:spacing w:before="0" w:after="200"/>
        <w:ind w:left="720"/>
        <w:rPr>
          <w:rFonts w:ascii="Times New Roman" w:hAnsi="Times New Roman" w:eastAsia="Times New Roman" w:cs="Times New Roman"/>
        </w:rPr>
      </w:pPr>
      <w:bookmarkStart w:id="4" w:name="bookmark=id.17dp8vu"/>
      <w:bookmarkEnd w:id="4"/>
      <w:r>
        <w:rPr>
          <w:rFonts w:eastAsia="Times New Roman" w:cs="Times New Roman" w:ascii="Times New Roman" w:hAnsi="Times New Roman"/>
        </w:rPr>
        <w:t>     </w:t>
      </w:r>
    </w:p>
    <w:p>
      <w:pPr>
        <w:pStyle w:val="Normal"/>
        <w:numPr>
          <w:ilvl w:val="0"/>
          <w:numId w:val="1"/>
        </w:numPr>
        <w:spacing w:before="0" w:after="20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>Strategies addressed from the Remediation List (</w:t>
      </w:r>
      <w:hyperlink r:id="rId3">
        <w:r>
          <w:rPr>
            <w:rStyle w:val="ListLabel83"/>
            <w:rFonts w:eastAsia="Times New Roman" w:cs="Times New Roman" w:ascii="Times New Roman" w:hAnsi="Times New Roman"/>
            <w:color w:val="0000FF"/>
            <w:u w:val="single"/>
          </w:rPr>
          <w:t>found here</w:t>
        </w:r>
      </w:hyperlink>
      <w:r>
        <w:rPr>
          <w:rFonts w:eastAsia="Times New Roman" w:cs="Times New Roman" w:ascii="Times New Roman" w:hAnsi="Times New Roman"/>
        </w:rPr>
        <w:t xml:space="preserve">). </w:t>
      </w:r>
      <w:r>
        <w:rPr>
          <w:rFonts w:eastAsia="Times New Roman" w:cs="Times New Roman" w:ascii="Times New Roman" w:hAnsi="Times New Roman"/>
          <w:i/>
        </w:rPr>
        <w:t xml:space="preserve">Please list the strategy, section number, and how your activities address the corresponding strategies. </w:t>
      </w:r>
    </w:p>
    <w:p>
      <w:pPr>
        <w:pStyle w:val="Normal"/>
        <w:spacing w:before="0" w:after="200"/>
        <w:ind w:left="720"/>
        <w:rPr>
          <w:rFonts w:ascii="Times New Roman" w:hAnsi="Times New Roman" w:eastAsia="Times New Roman" w:cs="Times New Roman"/>
        </w:rPr>
      </w:pPr>
      <w:bookmarkStart w:id="5" w:name="bookmark=id.3rdcrjn"/>
      <w:bookmarkEnd w:id="5"/>
      <w:r>
        <w:rPr>
          <w:rFonts w:eastAsia="Times New Roman" w:cs="Times New Roman" w:ascii="Times New Roman" w:hAnsi="Times New Roman"/>
        </w:rPr>
        <w:t>     </w:t>
      </w:r>
    </w:p>
    <w:p>
      <w:pPr>
        <w:pStyle w:val="Normal"/>
        <w:numPr>
          <w:ilvl w:val="0"/>
          <w:numId w:val="3"/>
        </w:numPr>
        <w:spacing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Number of Sequatchie residents served with settlement funding:     </w:t>
      </w:r>
    </w:p>
    <w:p>
      <w:pPr>
        <w:pStyle w:val="Normal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Quarterly Performance Measures:</w:t>
      </w:r>
    </w:p>
    <w:p>
      <w:pPr>
        <w:pStyle w:val="Normal"/>
        <w:rPr>
          <w:rFonts w:ascii="Times New Roman" w:hAnsi="Times New Roman" w:eastAsia="Times New Roman" w:cs="Times New Roman"/>
          <w:i/>
          <w:i/>
          <w:color w:val="000000"/>
          <w:highlight w:val="yellow"/>
        </w:rPr>
      </w:pPr>
      <w:r>
        <w:rPr>
          <w:rFonts w:eastAsia="Times New Roman" w:cs="Times New Roman" w:ascii="Times New Roman" w:hAnsi="Times New Roman"/>
          <w:i/>
        </w:rPr>
        <w:t>Type in text boxes to complete the table for each approved activity. Please add rows as necessary and only provide information for the corresponding quarter.</w:t>
      </w:r>
    </w:p>
    <w:p>
      <w:pPr>
        <w:pStyle w:val="Normal"/>
        <w:rPr>
          <w:rFonts w:ascii="Times New Roman" w:hAnsi="Times New Roman" w:eastAsia="Times New Roman" w:cs="Times New Roman"/>
          <w:i/>
          <w:i/>
          <w:highlight w:val="yellow"/>
        </w:rPr>
      </w:pPr>
      <w:r>
        <w:rPr>
          <w:rFonts w:eastAsia="Times New Roman" w:cs="Times New Roman" w:ascii="Times New Roman" w:hAnsi="Times New Roman"/>
          <w:i/>
          <w:highlight w:val="yellow"/>
        </w:rPr>
      </w:r>
    </w:p>
    <w:p>
      <w:pPr>
        <w:pStyle w:val="Normal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12950" w:type="dxa"/>
        <w:jc w:val="left"/>
        <w:tblInd w:w="0" w:type="dxa"/>
        <w:tblLayout w:type="fixed"/>
        <w:tblCellMar>
          <w:top w:w="0" w:type="dxa"/>
          <w:left w:w="100" w:type="dxa"/>
          <w:bottom w:w="0" w:type="dxa"/>
          <w:right w:w="100" w:type="dxa"/>
        </w:tblCellMar>
        <w:tblLook w:firstRow="0" w:noVBand="1" w:lastRow="0" w:firstColumn="0" w:lastColumn="0" w:noHBand="1" w:val="0600"/>
      </w:tblPr>
      <w:tblGrid>
        <w:gridCol w:w="4308"/>
        <w:gridCol w:w="8641"/>
      </w:tblGrid>
      <w:tr>
        <w:trPr>
          <w:trHeight w:val="288" w:hRule="atLeast"/>
        </w:trPr>
        <w:tc>
          <w:tcPr>
            <w:tcW w:w="12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0B5394" w:val="clear"/>
          </w:tcPr>
          <w:p>
            <w:pPr>
              <w:pStyle w:val="Normal"/>
              <w:ind w:left="140" w:right="140"/>
              <w:jc w:val="center"/>
              <w:rPr>
                <w:rFonts w:ascii="Times New Roman" w:hAnsi="Times New Roman" w:eastAsia="Times New Roman" w:cs="Times New Roman"/>
                <w:color w:val="FFFF00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</w:rPr>
              <w:t xml:space="preserve">ACTIVITY </w:t>
            </w:r>
            <w:r>
              <w:rPr>
                <w:rFonts w:eastAsia="Times New Roman" w:cs="Times New Roman" w:ascii="Times New Roman" w:hAnsi="Times New Roman"/>
                <w:b/>
                <w:color w:val="FFFF00"/>
              </w:rPr>
              <w:t>[NUMBER]</w:t>
            </w:r>
            <w:r>
              <w:rPr>
                <w:rFonts w:eastAsia="Times New Roman" w:cs="Times New Roman" w:ascii="Times New Roman" w:hAnsi="Times New Roman"/>
                <w:b/>
                <w:color w:val="FFFFFF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color w:val="FFFF00"/>
              </w:rPr>
              <w:t>[Proposed Activity]</w:t>
            </w:r>
          </w:p>
        </w:tc>
      </w:tr>
      <w:tr>
        <w:trPr>
          <w:trHeight w:val="288" w:hRule="atLeast"/>
        </w:trPr>
        <w:tc>
          <w:tcPr>
            <w:tcW w:w="43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  <w:vAlign w:val="center"/>
          </w:tcPr>
          <w:p>
            <w:pPr>
              <w:pStyle w:val="Normal"/>
              <w:ind w:left="140" w:right="14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Performance Indicator</w:t>
            </w:r>
          </w:p>
        </w:tc>
        <w:tc>
          <w:tcPr>
            <w:tcW w:w="86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  <w:vAlign w:val="center"/>
          </w:tcPr>
          <w:p>
            <w:pPr>
              <w:pStyle w:val="Normal"/>
              <w:ind w:left="140" w:right="14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Response</w:t>
            </w:r>
          </w:p>
        </w:tc>
      </w:tr>
      <w:tr>
        <w:trPr>
          <w:trHeight w:val="288" w:hRule="atLeast"/>
        </w:trPr>
        <w:tc>
          <w:tcPr>
            <w:tcW w:w="43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left="140" w:right="140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highlight w:val="yellow"/>
              </w:rPr>
              <w:t>[Type of metric]</w:t>
            </w:r>
          </w:p>
        </w:tc>
        <w:tc>
          <w:tcPr>
            <w:tcW w:w="86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right="1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     </w:t>
            </w:r>
          </w:p>
        </w:tc>
      </w:tr>
      <w:tr>
        <w:trPr>
          <w:trHeight w:val="288" w:hRule="atLeast"/>
        </w:trPr>
        <w:tc>
          <w:tcPr>
            <w:tcW w:w="43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left="140" w:right="140"/>
              <w:rPr>
                <w:rFonts w:ascii="Times New Roman" w:hAnsi="Times New Roman" w:eastAsia="Times New Roman" w:cs="Times New Roman"/>
                <w:i/>
                <w:i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highlight w:val="yellow"/>
              </w:rPr>
              <w:t xml:space="preserve">[Type of metric]     </w:t>
            </w:r>
          </w:p>
        </w:tc>
        <w:tc>
          <w:tcPr>
            <w:tcW w:w="86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right="1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     </w:t>
            </w:r>
          </w:p>
        </w:tc>
      </w:tr>
      <w:tr>
        <w:trPr>
          <w:trHeight w:val="288" w:hRule="atLeast"/>
        </w:trPr>
        <w:tc>
          <w:tcPr>
            <w:tcW w:w="43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left="140" w:right="140"/>
              <w:rPr>
                <w:rFonts w:ascii="Times New Roman" w:hAnsi="Times New Roman" w:eastAsia="Times New Roman" w:cs="Times New Roman"/>
                <w:i/>
                <w:i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highlight w:val="yellow"/>
              </w:rPr>
              <w:t>[Type of metric]</w:t>
            </w:r>
          </w:p>
        </w:tc>
        <w:tc>
          <w:tcPr>
            <w:tcW w:w="86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right="1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highlight w:val="yellow"/>
        </w:rPr>
      </w:pPr>
      <w:r>
        <w:rPr>
          <w:rFonts w:eastAsia="Times New Roman" w:cs="Times New Roman" w:ascii="Times New Roman" w:hAnsi="Times New Roman"/>
          <w:b/>
          <w:highlight w:val="yellow"/>
        </w:rPr>
      </w:r>
    </w:p>
    <w:p>
      <w:pPr>
        <w:pStyle w:val="Normal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12950" w:type="dxa"/>
        <w:jc w:val="left"/>
        <w:tblInd w:w="0" w:type="dxa"/>
        <w:tblLayout w:type="fixed"/>
        <w:tblCellMar>
          <w:top w:w="0" w:type="dxa"/>
          <w:left w:w="100" w:type="dxa"/>
          <w:bottom w:w="0" w:type="dxa"/>
          <w:right w:w="100" w:type="dxa"/>
        </w:tblCellMar>
        <w:tblLook w:firstRow="0" w:noVBand="1" w:lastRow="0" w:firstColumn="0" w:lastColumn="0" w:noHBand="1" w:val="0600"/>
      </w:tblPr>
      <w:tblGrid>
        <w:gridCol w:w="4308"/>
        <w:gridCol w:w="8641"/>
      </w:tblGrid>
      <w:tr>
        <w:trPr>
          <w:trHeight w:val="288" w:hRule="atLeast"/>
        </w:trPr>
        <w:tc>
          <w:tcPr>
            <w:tcW w:w="12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0B5394" w:val="clear"/>
          </w:tcPr>
          <w:p>
            <w:pPr>
              <w:pStyle w:val="Normal"/>
              <w:ind w:left="140" w:right="140"/>
              <w:jc w:val="center"/>
              <w:rPr>
                <w:rFonts w:ascii="Times New Roman" w:hAnsi="Times New Roman" w:eastAsia="Times New Roman" w:cs="Times New Roman"/>
                <w:color w:val="FFFF00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</w:rPr>
              <w:t xml:space="preserve">ACTIVITY </w:t>
            </w:r>
            <w:r>
              <w:rPr>
                <w:rFonts w:eastAsia="Times New Roman" w:cs="Times New Roman" w:ascii="Times New Roman" w:hAnsi="Times New Roman"/>
                <w:b/>
                <w:color w:val="FFFF00"/>
              </w:rPr>
              <w:t>[NUMBER]</w:t>
            </w:r>
            <w:r>
              <w:rPr>
                <w:rFonts w:eastAsia="Times New Roman" w:cs="Times New Roman" w:ascii="Times New Roman" w:hAnsi="Times New Roman"/>
                <w:b/>
                <w:color w:val="FFFFFF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color w:val="FFFF00"/>
              </w:rPr>
              <w:t>[Proposed Activity]</w:t>
            </w:r>
          </w:p>
        </w:tc>
      </w:tr>
      <w:tr>
        <w:trPr>
          <w:trHeight w:val="288" w:hRule="atLeast"/>
        </w:trPr>
        <w:tc>
          <w:tcPr>
            <w:tcW w:w="43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  <w:vAlign w:val="center"/>
          </w:tcPr>
          <w:p>
            <w:pPr>
              <w:pStyle w:val="Normal"/>
              <w:ind w:left="140" w:right="14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Performance Indicator</w:t>
            </w:r>
          </w:p>
        </w:tc>
        <w:tc>
          <w:tcPr>
            <w:tcW w:w="86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  <w:vAlign w:val="center"/>
          </w:tcPr>
          <w:p>
            <w:pPr>
              <w:pStyle w:val="Normal"/>
              <w:ind w:left="140" w:right="14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Response</w:t>
            </w:r>
          </w:p>
        </w:tc>
      </w:tr>
      <w:tr>
        <w:trPr>
          <w:trHeight w:val="288" w:hRule="atLeast"/>
        </w:trPr>
        <w:tc>
          <w:tcPr>
            <w:tcW w:w="43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left="140" w:right="140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highlight w:val="yellow"/>
              </w:rPr>
              <w:t>[Type of metric]</w:t>
            </w:r>
          </w:p>
        </w:tc>
        <w:tc>
          <w:tcPr>
            <w:tcW w:w="86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right="1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     </w:t>
            </w:r>
          </w:p>
        </w:tc>
      </w:tr>
      <w:tr>
        <w:trPr>
          <w:trHeight w:val="288" w:hRule="atLeast"/>
        </w:trPr>
        <w:tc>
          <w:tcPr>
            <w:tcW w:w="43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left="140" w:right="140"/>
              <w:rPr>
                <w:rFonts w:ascii="Times New Roman" w:hAnsi="Times New Roman" w:eastAsia="Times New Roman" w:cs="Times New Roman"/>
                <w:i/>
                <w:i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highlight w:val="yellow"/>
              </w:rPr>
              <w:t xml:space="preserve">[Type of metric]     </w:t>
            </w:r>
          </w:p>
        </w:tc>
        <w:tc>
          <w:tcPr>
            <w:tcW w:w="86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right="1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     </w:t>
            </w:r>
          </w:p>
        </w:tc>
      </w:tr>
      <w:tr>
        <w:trPr>
          <w:trHeight w:val="288" w:hRule="atLeast"/>
        </w:trPr>
        <w:tc>
          <w:tcPr>
            <w:tcW w:w="43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left="140" w:right="140"/>
              <w:rPr>
                <w:rFonts w:ascii="Times New Roman" w:hAnsi="Times New Roman" w:eastAsia="Times New Roman" w:cs="Times New Roman"/>
                <w:i/>
                <w:i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highlight w:val="yellow"/>
              </w:rPr>
              <w:t>[Type of metric]</w:t>
            </w:r>
          </w:p>
        </w:tc>
        <w:tc>
          <w:tcPr>
            <w:tcW w:w="86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ind w:right="1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sectPr>
      <w:headerReference w:type="even" r:id="rId4"/>
      <w:headerReference w:type="default" r:id="rId5"/>
      <w:headerReference w:type="first" r:id="rId6"/>
      <w:type w:val="nextPage"/>
      <w:pgSz w:orient="landscape" w:w="15840" w:h="12240"/>
      <w:pgMar w:left="1440" w:right="1440" w:gutter="0" w:header="720" w:top="1440" w:footer="0" w:bottom="1440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  <w:embedRegular r:id="rId14" w:fontKey="{0E014A78-CABC-4EF0-12AC-5CD89AEFDE0E}"/>
  </w:font>
  <w:font w:name="Verdana">
    <w:charset w:val="00"/>
    <w:family w:val="roman"/>
    <w:pitch w:val="variable"/>
    <w:embedRegular r:id="rId15" w:fontKey="{0F014A78-CABC-4EF0-12AC-5CD89AEFDE0F}"/>
  </w:font>
  <w:font w:name="Noto Sans Symbols">
    <w:charset w:val="01"/>
    <w:family w:val="swiss"/>
    <w:pitch w:val="default"/>
  </w:font>
  <w:font w:name="Courier New">
    <w:charset w:val="01"/>
    <w:family w:val="modern"/>
    <w:pitch w:val="fixed"/>
    <w:embedRegular r:id="rId16" w:fontKey="{10014A78-CABC-4EF0-12AC-5CD89AEFDE10}"/>
    <w:embedBold r:id="rId17" w:fontKey="{11014A78-CABC-4EF0-12AC-5CD89AEFDE11}"/>
    <w:embedItalic r:id="rId18" w:fontKey="{12014A78-CABC-4EF0-12AC-5CD89AEFDE12}"/>
    <w:embedBoldItalic r:id="rId19" w:fontKey="{13014A78-CABC-4EF0-12AC-5CD89AEFDE13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80" w:leader="none"/>
        <w:tab w:val="right" w:pos="9360" w:leader="none"/>
      </w:tabs>
      <w:spacing w:lineRule="auto" w:line="240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680" w:leader="none"/>
        <w:tab w:val="right" w:pos="9360" w:leader="none"/>
      </w:tabs>
      <w:spacing w:lineRule="auto" w:line="240"/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 w:eastAsia="Times New Roman" w:cs="Times New Roman"/>
        <w:b/>
      </w:rPr>
    </w:pPr>
    <w:r>
      <w:rPr/>
      <w:drawing>
        <wp:inline distT="0" distB="0" distL="0" distR="0">
          <wp:extent cx="2990850" cy="2940050"/>
          <wp:effectExtent l="0" t="0" r="0" b="0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294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1415e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415e7"/>
    <w:rPr>
      <w:color w:val="0000FF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af0643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af0643"/>
    <w:rPr/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af0643"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paragraph" w:styleId="Footer">
    <w:name w:val="Footer"/>
    <w:basedOn w:val="Normal"/>
    <w:link w:val="FooterChar"/>
    <w:uiPriority w:val="99"/>
    <w:unhideWhenUsed/>
    <w:rsid w:val="00af0643"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pioid.grant@sequatchiecountytn.gov" TargetMode="External"/><Relationship Id="rId3" Type="http://schemas.openxmlformats.org/officeDocument/2006/relationships/hyperlink" Target="https://www.tn.gov/content/dam/tn/oac/documents/OAC_Remediation_List_Categories.pdf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XB1sZBfjdBMkxnBfZkfzJei2YiA==">CgMxLjAyCmlkLjNkeTZ2a20yCmlkLjF0M2g1c2YyCmlkLjRkMzRvZzgyCmlkLjJzOGV5bzEyCmlkLjE3ZHA4dnUyCmlkLjNyZGNyam44AHIhMVZVaXZ6VUpZMGhXM1lvMDV2MVpRNnRPOEkzYW9ZMS1P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LibreOffice/24.2.5.2$Windows_X86_64 LibreOffice_project/bffef4ea93e59bebbeaf7f431bb02b1a39ee8a59</Application>
  <AppVersion>15.0000</AppVersion>
  <Pages>3</Pages>
  <Words>253</Words>
  <Characters>1540</Characters>
  <CharactersWithSpaces>1923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2025-08-16T01:30:00Z</dcterms:created>
  <dc:creator>Henderson, Trevor John</dc:creator>
  <dc:description/>
  <dc:language>en-US</dc:language>
  <cp:lastModifiedBy/>
  <dcterms:modified xsi:type="dcterms:W3CDTF">2026-02-17T10:05:27Z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